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33EB9" w14:textId="77777777" w:rsidR="00776049" w:rsidRDefault="00776049" w:rsidP="00776049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C8AB5DC" wp14:editId="006FA98B">
            <wp:simplePos x="0" y="0"/>
            <wp:positionH relativeFrom="column">
              <wp:posOffset>4525010</wp:posOffset>
            </wp:positionH>
            <wp:positionV relativeFrom="paragraph">
              <wp:posOffset>22225</wp:posOffset>
            </wp:positionV>
            <wp:extent cx="1550035" cy="155618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cvet-logo-ma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55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TISKOVÁ ZPRÁVA - 20 června 2016</w:t>
      </w:r>
    </w:p>
    <w:p w14:paraId="4409FE72" w14:textId="77777777" w:rsidR="00776049" w:rsidRDefault="00776049" w:rsidP="00776049">
      <w:pPr>
        <w:rPr>
          <w:b/>
        </w:rPr>
      </w:pPr>
      <w:r w:rsidRPr="004F26D3">
        <w:rPr>
          <w:b/>
        </w:rPr>
        <w:t xml:space="preserve">Řešení, které umožní </w:t>
      </w:r>
      <w:proofErr w:type="spellStart"/>
      <w:r w:rsidRPr="004F26D3">
        <w:rPr>
          <w:b/>
        </w:rPr>
        <w:t>skipperům</w:t>
      </w:r>
      <w:proofErr w:type="spellEnd"/>
      <w:r w:rsidRPr="004F26D3">
        <w:rPr>
          <w:b/>
        </w:rPr>
        <w:t xml:space="preserve"> pracovat bez omezení jsou na dosah ruky, </w:t>
      </w:r>
    </w:p>
    <w:p w14:paraId="4E7340F1" w14:textId="77777777" w:rsidR="00776049" w:rsidRDefault="00776049" w:rsidP="00776049">
      <w:pPr>
        <w:rPr>
          <w:b/>
        </w:rPr>
      </w:pPr>
      <w:r w:rsidRPr="004F26D3">
        <w:rPr>
          <w:b/>
        </w:rPr>
        <w:t>usuzuje závěrečná akce projektu TCC-SCV</w:t>
      </w:r>
      <w:r>
        <w:rPr>
          <w:b/>
        </w:rPr>
        <w:t>.</w:t>
      </w:r>
    </w:p>
    <w:p w14:paraId="368F3C1C" w14:textId="77777777" w:rsidR="00776049" w:rsidRPr="004F26D3" w:rsidRDefault="00776049" w:rsidP="00776049">
      <w:pPr>
        <w:jc w:val="center"/>
        <w:rPr>
          <w:b/>
        </w:rPr>
      </w:pPr>
    </w:p>
    <w:p w14:paraId="3001E0DB" w14:textId="77777777" w:rsidR="00776049" w:rsidRDefault="00776049" w:rsidP="00776049"/>
    <w:p w14:paraId="531BED80" w14:textId="77777777" w:rsidR="00776049" w:rsidRDefault="00776049" w:rsidP="00776049"/>
    <w:p w14:paraId="71732D53" w14:textId="77777777" w:rsidR="00776049" w:rsidRDefault="00776049" w:rsidP="00776049"/>
    <w:p w14:paraId="6A9EC395" w14:textId="77777777" w:rsidR="00776049" w:rsidRDefault="00776049" w:rsidP="00776049">
      <w:r>
        <w:t>Dne 16. června 2016 se v Bruselu více než 60 lidí zúčastnilo konference "</w:t>
      </w:r>
      <w:proofErr w:type="spellStart"/>
      <w:r>
        <w:t>Skippers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Borders</w:t>
      </w:r>
      <w:proofErr w:type="spellEnd"/>
      <w:r>
        <w:t>“ (</w:t>
      </w:r>
      <w:proofErr w:type="spellStart"/>
      <w:r>
        <w:t>Skippeři</w:t>
      </w:r>
      <w:proofErr w:type="spellEnd"/>
      <w:r>
        <w:t xml:space="preserve"> pracující bez hranic),  pořádané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Boating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(Evropská asociace lodního průmyslu) a týmem projektu TCC-SCV. Konference byla jedinečnou příležitostí  pro živé a dynamické vystoupení jednotlivých řečníků - včetně klíčových představitelů EU a zástupců lodního  průmyslu - a účastníků konference, kteří diskutovali o problematice omezené pracovní mobility profesionálních </w:t>
      </w:r>
      <w:proofErr w:type="spellStart"/>
      <w:r>
        <w:t>skipperů</w:t>
      </w:r>
      <w:proofErr w:type="spellEnd"/>
      <w:r>
        <w:t xml:space="preserve"> malých komerčních plavidel v Evropě.</w:t>
      </w:r>
    </w:p>
    <w:p w14:paraId="67C223D6" w14:textId="77777777" w:rsidR="00776049" w:rsidRDefault="00776049" w:rsidP="00776049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808289E" wp14:editId="7C0AFFA6">
            <wp:simplePos x="0" y="0"/>
            <wp:positionH relativeFrom="column">
              <wp:posOffset>1904</wp:posOffset>
            </wp:positionH>
            <wp:positionV relativeFrom="paragraph">
              <wp:posOffset>240665</wp:posOffset>
            </wp:positionV>
            <wp:extent cx="2528147" cy="1896110"/>
            <wp:effectExtent l="0" t="0" r="12065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20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147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4A77B54" wp14:editId="28330309">
            <wp:simplePos x="0" y="0"/>
            <wp:positionH relativeFrom="column">
              <wp:posOffset>2809875</wp:posOffset>
            </wp:positionH>
            <wp:positionV relativeFrom="paragraph">
              <wp:posOffset>243840</wp:posOffset>
            </wp:positionV>
            <wp:extent cx="2513118" cy="1884839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95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118" cy="1884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5BA7C" w14:textId="77777777" w:rsidR="00776049" w:rsidRDefault="00776049" w:rsidP="00776049"/>
    <w:p w14:paraId="112FF68D" w14:textId="77777777" w:rsidR="00776049" w:rsidRDefault="00776049" w:rsidP="00776049"/>
    <w:p w14:paraId="781227FB" w14:textId="77777777" w:rsidR="00776049" w:rsidRDefault="00776049" w:rsidP="00776049"/>
    <w:p w14:paraId="6B94C131" w14:textId="77777777" w:rsidR="00776049" w:rsidRDefault="00776049" w:rsidP="00776049"/>
    <w:p w14:paraId="44C45C20" w14:textId="77777777" w:rsidR="00776049" w:rsidRDefault="00776049" w:rsidP="00776049"/>
    <w:p w14:paraId="3C0F240C" w14:textId="77777777" w:rsidR="00776049" w:rsidRDefault="00776049" w:rsidP="00776049"/>
    <w:p w14:paraId="2BE6B3D5" w14:textId="77777777" w:rsidR="00776049" w:rsidRDefault="00776049" w:rsidP="00776049"/>
    <w:p w14:paraId="4C8DB331" w14:textId="77777777" w:rsidR="00776049" w:rsidRDefault="00776049" w:rsidP="00776049"/>
    <w:p w14:paraId="73203D35" w14:textId="77777777" w:rsidR="00776049" w:rsidRDefault="00776049" w:rsidP="00776049">
      <w:r>
        <w:t xml:space="preserve">Předseda Evropské asociace lodního průmyslu </w:t>
      </w:r>
      <w:proofErr w:type="spellStart"/>
      <w:r>
        <w:t>Piero</w:t>
      </w:r>
      <w:proofErr w:type="spellEnd"/>
      <w:r>
        <w:t xml:space="preserve"> </w:t>
      </w:r>
      <w:proofErr w:type="spellStart"/>
      <w:r>
        <w:t>Formenti</w:t>
      </w:r>
      <w:proofErr w:type="spellEnd"/>
      <w:r>
        <w:t xml:space="preserve"> zahájil konferenci a zdůraznil, že jedním z cílů existence Evropské asociace lodního průmyslu je "být platformou evropského lodního průmyslu ke vzájemnému setkávání a výměně názorů o důležitých tématech tohoto odvětví. Nedostatečné uznávání odborných kvalifikací </w:t>
      </w:r>
      <w:proofErr w:type="spellStart"/>
      <w:r>
        <w:t>skipperů</w:t>
      </w:r>
      <w:proofErr w:type="spellEnd"/>
      <w:r>
        <w:t xml:space="preserve"> , kteří pracují na malých komerčních plavidlech (SCV) v Evropě je jedním z nich a nyní je čas toto řešit na úrovni EU. "</w:t>
      </w:r>
    </w:p>
    <w:p w14:paraId="36D9155D" w14:textId="77777777" w:rsidR="00776049" w:rsidRDefault="00776049" w:rsidP="00776049">
      <w:proofErr w:type="spellStart"/>
      <w:r>
        <w:t>Mirna</w:t>
      </w:r>
      <w:proofErr w:type="spellEnd"/>
      <w:r>
        <w:t xml:space="preserve"> </w:t>
      </w:r>
      <w:proofErr w:type="spellStart"/>
      <w:r>
        <w:t>Cieniewicz</w:t>
      </w:r>
      <w:proofErr w:type="spellEnd"/>
      <w:r>
        <w:t xml:space="preserve">, generální tajemník Evropské asociace lodního průmyslu, která moderovala konferenci, uvedla několik čísel námořního cestovního ruchu. Podle odhadu charterového průmyslu je v Evropě přibližně 50.000-75.000 profesionálních </w:t>
      </w:r>
      <w:proofErr w:type="spellStart"/>
      <w:r>
        <w:t>skipperů</w:t>
      </w:r>
      <w:proofErr w:type="spellEnd"/>
      <w:r>
        <w:t xml:space="preserve"> pracujících trvale nebo příležitostně. Přestože je obtížné kvantifikovat kvůli nedostatku údajů z členských zemí EU přesná čísla, velikost charterové flotily se odhaduje na 60.000 lodí délky do 24m. Provoz malých obchodních charterových plavidel má roční obrat ve výši 6 miliard EUR.</w:t>
      </w:r>
    </w:p>
    <w:p w14:paraId="4115550C" w14:textId="77777777" w:rsidR="00776049" w:rsidRDefault="00776049" w:rsidP="00776049">
      <w:r>
        <w:t xml:space="preserve">V Evropě prozatím neexistují žádná společná pravidla týkající se školení a certifikace profesionálních </w:t>
      </w:r>
      <w:proofErr w:type="spellStart"/>
      <w:r>
        <w:t>skipperů</w:t>
      </w:r>
      <w:proofErr w:type="spellEnd"/>
      <w:r>
        <w:t xml:space="preserve"> a kapitánů. Naopak, regulační krajina je velmi fragmentovaná, protože pravidla jsou stanovena pouze na národní úrovni. Jedním z důsledků je, že odborné kvalifikace z jednoho </w:t>
      </w:r>
      <w:r>
        <w:lastRenderedPageBreak/>
        <w:t xml:space="preserve">členského státu nejsou uznávány jiným. Tento stav způsobuje problémy s náborem a pracovní mobilitou </w:t>
      </w:r>
      <w:proofErr w:type="spellStart"/>
      <w:r>
        <w:t>skipperů</w:t>
      </w:r>
      <w:proofErr w:type="spellEnd"/>
      <w:r>
        <w:t xml:space="preserve"> a rovněž nedostatkem standardů této profese.</w:t>
      </w:r>
    </w:p>
    <w:p w14:paraId="6A6C730A" w14:textId="77777777" w:rsidR="00776049" w:rsidRDefault="00776049" w:rsidP="00776049">
      <w:r>
        <w:t xml:space="preserve">Problémy ilustrovala </w:t>
      </w:r>
      <w:proofErr w:type="spellStart"/>
      <w:r>
        <w:t>Josie</w:t>
      </w:r>
      <w:proofErr w:type="spellEnd"/>
      <w:r>
        <w:t xml:space="preserve"> </w:t>
      </w:r>
      <w:proofErr w:type="spellStart"/>
      <w:r>
        <w:t>Tucci</w:t>
      </w:r>
      <w:proofErr w:type="spellEnd"/>
      <w:r>
        <w:t xml:space="preserve">, generální ředitelka společnosti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Moorings</w:t>
      </w:r>
      <w:proofErr w:type="spellEnd"/>
      <w:r>
        <w:t xml:space="preserve"> (TUI Marine Group), která je jednou z předních světových charterových společností. </w:t>
      </w:r>
      <w:proofErr w:type="spellStart"/>
      <w:r>
        <w:t>Josie</w:t>
      </w:r>
      <w:proofErr w:type="spellEnd"/>
      <w:r>
        <w:t xml:space="preserve"> </w:t>
      </w:r>
      <w:proofErr w:type="spellStart"/>
      <w:r>
        <w:t>Tucci</w:t>
      </w:r>
      <w:proofErr w:type="spellEnd"/>
      <w:r>
        <w:t xml:space="preserve"> vysvětlila, že charter s placeným </w:t>
      </w:r>
      <w:proofErr w:type="spellStart"/>
      <w:r>
        <w:t>skipperem</w:t>
      </w:r>
      <w:proofErr w:type="spellEnd"/>
      <w:r>
        <w:t xml:space="preserve"> je rostoucím trendem charterového podnikání a povolání </w:t>
      </w:r>
      <w:proofErr w:type="spellStart"/>
      <w:r>
        <w:t>skippera</w:t>
      </w:r>
      <w:proofErr w:type="spellEnd"/>
      <w:r>
        <w:t xml:space="preserve">  přesahuje pouhou navigaci a obsluhu lodě, ale skipper se stává „průvodcem dovolené na lodi“. Tato činnost je nezbytná k celkové spokojenosti klientů. Společnost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Moorings</w:t>
      </w:r>
      <w:proofErr w:type="spellEnd"/>
      <w:r>
        <w:t xml:space="preserve">, která má více než 30 milionů zákazníků po celém světě a v současné době zaměstnává přibližně 200 </w:t>
      </w:r>
      <w:proofErr w:type="spellStart"/>
      <w:r>
        <w:t>skipperů</w:t>
      </w:r>
      <w:proofErr w:type="spellEnd"/>
      <w:r>
        <w:t>, vyjádřila v průběhu konference plnou podporu práci provedené v rámci projektu TCC-SCV. Lara Hidalgo, právní poradce ANEN (Španělská  Asociace lodního průmyslu) na příkladu Španělska ukázala, jak charter ve Španělsku roste, a to zejména díky odstranění překážek, jako je imatrikulační daň.</w:t>
      </w:r>
    </w:p>
    <w:p w14:paraId="5D8643FD" w14:textId="77777777" w:rsidR="00776049" w:rsidRDefault="00776049" w:rsidP="00776049">
      <w:r>
        <w:t xml:space="preserve">Vedoucí projektu TCC-SCV </w:t>
      </w:r>
      <w:proofErr w:type="spellStart"/>
      <w:r>
        <w:t>Silja</w:t>
      </w:r>
      <w:proofErr w:type="spellEnd"/>
      <w:r>
        <w:t xml:space="preserve"> </w:t>
      </w:r>
      <w:proofErr w:type="spellStart"/>
      <w:r>
        <w:t>Teege</w:t>
      </w:r>
      <w:proofErr w:type="spellEnd"/>
      <w:r>
        <w:t xml:space="preserve"> (z charterové společnosti a školicího střediska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Teach</w:t>
      </w:r>
      <w:proofErr w:type="spellEnd"/>
      <w:r>
        <w:t>) představila dva hlavní výstupy z iniciativy TCC-SCV: Online porovnávací nástroj a Společné základní osnovy. Online porovnávací nástroj ukázal, že dnes je 80-90% ze 7 analyzovaných kvalifikací identických. To znamená, že rozdíly jsou mnohem menší než společné osnovy a obecně jsou různé kvalifikace velmi podobné. Tento nástroj přináší tolik potřebnou transparentnost a podrobnosti o obsahu každé kvalifikace, je tedy snadné stanovit, jaký dodatečný výcvik nebo kompetence budou zapotřebí při práci na plavidle plujícím pod vlajku jiného členského státu.</w:t>
      </w:r>
    </w:p>
    <w:p w14:paraId="02EB1655" w14:textId="77777777" w:rsidR="00776049" w:rsidRDefault="00776049" w:rsidP="00776049">
      <w:r>
        <w:t>Společné základní osnovy byly navrženy na základě aktuálního společného základu. Na základě zjištěných rozdílů mezi jednotlivými členskými státy jsou navrženy dodatečné znalosti a kompetence ve formě modulů. Tímto způsobem může každý skipper přizpůsobit své vzdělávací potřeby na základě společných osnov a dodatečných modulů požadovaných jednotlivými členskými státy. Z tohoto důvodu jsou dodatečné moduly omezeny na skutečně rozdílné kompetence vyžadovanými členskými státy.</w:t>
      </w:r>
    </w:p>
    <w:p w14:paraId="0FC4710E" w14:textId="77777777" w:rsidR="00776049" w:rsidRDefault="00776049" w:rsidP="00776049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BE1AF0C" wp14:editId="5C053108">
            <wp:simplePos x="0" y="0"/>
            <wp:positionH relativeFrom="column">
              <wp:posOffset>2922904</wp:posOffset>
            </wp:positionH>
            <wp:positionV relativeFrom="paragraph">
              <wp:posOffset>38259</wp:posOffset>
            </wp:positionV>
            <wp:extent cx="2515235" cy="1886426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9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667" cy="189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611220A" wp14:editId="3A53CCB9">
            <wp:simplePos x="0" y="0"/>
            <wp:positionH relativeFrom="column">
              <wp:posOffset>65404</wp:posOffset>
            </wp:positionH>
            <wp:positionV relativeFrom="paragraph">
              <wp:posOffset>25559</wp:posOffset>
            </wp:positionV>
            <wp:extent cx="2515235" cy="1886426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98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467" cy="189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1E613" w14:textId="77777777" w:rsidR="00776049" w:rsidRDefault="00776049" w:rsidP="00776049"/>
    <w:p w14:paraId="5B545C63" w14:textId="77777777" w:rsidR="00776049" w:rsidRDefault="00776049" w:rsidP="00776049"/>
    <w:p w14:paraId="4E693AF9" w14:textId="77777777" w:rsidR="00776049" w:rsidRDefault="00776049" w:rsidP="00776049"/>
    <w:p w14:paraId="360849B6" w14:textId="77777777" w:rsidR="00776049" w:rsidRDefault="00776049" w:rsidP="00776049"/>
    <w:p w14:paraId="77008A21" w14:textId="77777777" w:rsidR="00776049" w:rsidRDefault="00776049" w:rsidP="00776049"/>
    <w:p w14:paraId="6AC00AF9" w14:textId="77777777" w:rsidR="00776049" w:rsidRDefault="00776049" w:rsidP="00776049"/>
    <w:p w14:paraId="6471DD61" w14:textId="77777777" w:rsidR="00776049" w:rsidRDefault="00776049" w:rsidP="00776049"/>
    <w:p w14:paraId="7F46B3CB" w14:textId="77777777" w:rsidR="00776049" w:rsidRDefault="00776049" w:rsidP="00776049">
      <w:r>
        <w:t xml:space="preserve">V prvním panelu se setkali zástupci EU k diskuzi o výhodách společného evropského přístupu. </w:t>
      </w:r>
      <w:proofErr w:type="spellStart"/>
      <w:r>
        <w:t>Konstantions</w:t>
      </w:r>
      <w:proofErr w:type="spellEnd"/>
      <w:r>
        <w:t xml:space="preserve"> </w:t>
      </w:r>
      <w:proofErr w:type="spellStart"/>
      <w:r>
        <w:t>Tomaras</w:t>
      </w:r>
      <w:proofErr w:type="spellEnd"/>
      <w:r>
        <w:t xml:space="preserve">, zástupce vedoucího oddělení u Evropské komise, který je  zodpovědný za volný pohyb zaměstnanců, připomněl přítomným, že určitá pravidla EU jsou již zavedena tak, aby byla zaručena pracovní mobilita. Ale jak pan </w:t>
      </w:r>
      <w:proofErr w:type="spellStart"/>
      <w:r>
        <w:t>Tomaras</w:t>
      </w:r>
      <w:proofErr w:type="spellEnd"/>
      <w:r>
        <w:t xml:space="preserve"> poznamenal, členské státy a jejich veřejné správy si samy nejsou často vědomi opatření a postupů, které by měly použít k tomu, aby se zajistila pracovní mobilita. Je zřejmé, že více práce je potřeba s informováním vnitrostátních orgánů a představitelů průmyslu, aby se zvýšilo povědomí o stávajících pravidlech.</w:t>
      </w:r>
    </w:p>
    <w:p w14:paraId="566C5F9E" w14:textId="77777777" w:rsidR="00776049" w:rsidRDefault="00776049" w:rsidP="00776049">
      <w:proofErr w:type="spellStart"/>
      <w:r>
        <w:t>Cláudia</w:t>
      </w:r>
      <w:proofErr w:type="spellEnd"/>
      <w:r>
        <w:t xml:space="preserve"> </w:t>
      </w:r>
      <w:proofErr w:type="spellStart"/>
      <w:r>
        <w:t>Monteiro</w:t>
      </w:r>
      <w:proofErr w:type="spellEnd"/>
      <w:r>
        <w:t xml:space="preserve"> de </w:t>
      </w:r>
      <w:proofErr w:type="spellStart"/>
      <w:r>
        <w:t>Aguiar</w:t>
      </w:r>
      <w:proofErr w:type="spellEnd"/>
      <w:r>
        <w:t xml:space="preserve">, členka Výboru Evropského parlamentu pro dopravu a cestovní ruch a předsedkyně SME - pracovní skupiny Evropských malých a středních podniků v cestovním ruchu, vyjádřila vstřícné poselství o podpoře snah prováděných partnery projektu TCC-SCV. Oznámila, že požádala o finanční prostředky EU, aby se prodloužila projektem doposud provedená práce do dalších zemí. V současné době projekt TCC-SCV analyzoval kvalifikační požadavky ze 7 členských zemí: Velké Británie, Německa, Francie, Španělska, Chorvatska, Slovinska a České republiky. Bude dobré v budoucnu přidat znalosti  také o skandinávské, italské, řecké a nizozemské kvalifikaci. Toto podpoří další rozvoj společných základních osnov pro evropské </w:t>
      </w:r>
      <w:proofErr w:type="spellStart"/>
      <w:r>
        <w:t>skippery</w:t>
      </w:r>
      <w:proofErr w:type="spellEnd"/>
      <w:r>
        <w:t xml:space="preserve">. Člen Evropského parlamentu, poslanec István </w:t>
      </w:r>
      <w:proofErr w:type="spellStart"/>
      <w:r>
        <w:t>Ujhelyi</w:t>
      </w:r>
      <w:proofErr w:type="spellEnd"/>
      <w:r>
        <w:t>, který je místopředsedou Výboru pro dopravu a cestovní ruch Evropského parlamentu a místopředsedou  Parlamentního podvýboru cestovního ruchu, rovněž podpořil iniciativu TCC-SCV během svého odpoledního vstupu.</w:t>
      </w:r>
    </w:p>
    <w:p w14:paraId="169D0765" w14:textId="77777777" w:rsidR="00776049" w:rsidRDefault="00776049" w:rsidP="00776049">
      <w:r>
        <w:t xml:space="preserve">"Této otázce bude věnována pozornost k dalšímu zviditelnění a projednání během maltského předsednictví EU" oznámil David </w:t>
      </w:r>
      <w:proofErr w:type="spellStart"/>
      <w:r>
        <w:t>Kerr</w:t>
      </w:r>
      <w:proofErr w:type="spellEnd"/>
      <w:r>
        <w:t xml:space="preserve">, Maltský atašé pro námořní záležitosti v EU. Dodal, že námořní cestovní ruch bude prioritou maltského předsednictví, které začíná dne 1. ledna 2017 a že se těší na pokračování úzké spolupráce s Evropskou asociací lodního průmyslu v této věci. Podporu také vyjádřil </w:t>
      </w:r>
      <w:proofErr w:type="spellStart"/>
      <w:r>
        <w:t>Serban</w:t>
      </w:r>
      <w:proofErr w:type="spellEnd"/>
      <w:r>
        <w:t xml:space="preserve"> </w:t>
      </w:r>
      <w:proofErr w:type="spellStart"/>
      <w:r>
        <w:t>Berescu</w:t>
      </w:r>
      <w:proofErr w:type="spellEnd"/>
      <w:r>
        <w:t>, IMO námořní velvyslanec pro Rumunsko, který připomenul, že na rozdíl od odvětví malých obchodních plavidel, je mezinárodní námořní obchod plně harmonizován díky IMO Úmluvě STCW.</w:t>
      </w:r>
    </w:p>
    <w:p w14:paraId="21315CC0" w14:textId="77777777" w:rsidR="00776049" w:rsidRDefault="00776049" w:rsidP="00776049">
      <w:r>
        <w:t xml:space="preserve">V závěrečné diskusi k druhému panelu, Thomas </w:t>
      </w:r>
      <w:proofErr w:type="spellStart"/>
      <w:r>
        <w:t>Strasser</w:t>
      </w:r>
      <w:proofErr w:type="spellEnd"/>
      <w:r>
        <w:t xml:space="preserve">, vedoucí týmu při Evropské komisi připomněl účastníkům konference, že Komise vzala v úvahu tento problém již v roce 2014 a že probíhající studie pomůže určit, jaká řešení se mohou očekávat. Dodal, že komisař </w:t>
      </w:r>
      <w:proofErr w:type="spellStart"/>
      <w:r>
        <w:t>Karmenu</w:t>
      </w:r>
      <w:proofErr w:type="spellEnd"/>
      <w:r>
        <w:t xml:space="preserve"> Vella podporuje lodní průmysl a rovněž blahopřál lodnímu průmyslu pro svůj aktivní přístup k řešení daného problému.</w:t>
      </w:r>
    </w:p>
    <w:p w14:paraId="7DBFE7EB" w14:textId="77777777" w:rsidR="00776049" w:rsidRDefault="00776049" w:rsidP="00776049">
      <w:proofErr w:type="spellStart"/>
      <w:r>
        <w:t>Bernie</w:t>
      </w:r>
      <w:proofErr w:type="spellEnd"/>
      <w:r>
        <w:t xml:space="preserve"> </w:t>
      </w:r>
      <w:proofErr w:type="spellStart"/>
      <w:r>
        <w:t>Butler</w:t>
      </w:r>
      <w:proofErr w:type="spellEnd"/>
      <w:r>
        <w:t xml:space="preserve"> z projektu TCC-SCV vysvětlil, že "to všechno začalo před několika lety ve skupině 3 lidí na malém ostrově, kteří si uvědomili problém profesionálních </w:t>
      </w:r>
      <w:proofErr w:type="spellStart"/>
      <w:r>
        <w:t>skipperů</w:t>
      </w:r>
      <w:proofErr w:type="spellEnd"/>
      <w:r>
        <w:t xml:space="preserve">. Dnes zde můžeme hovořit s evropskými institucemi a vnitrostátními administrativami o možných řešeních“. A to je to, co profesionální </w:t>
      </w:r>
      <w:proofErr w:type="spellStart"/>
      <w:r>
        <w:t>skippeři</w:t>
      </w:r>
      <w:proofErr w:type="spellEnd"/>
      <w:r>
        <w:t xml:space="preserve"> potřebují, problém je třeba pojmenovat, řešení identifikovat a navrhnout opatření, která mají být přijata jak na vnitrostátní úrovni, tak na úrovni EU. Ve svých závěrečných poznámkách, </w:t>
      </w:r>
      <w:proofErr w:type="spellStart"/>
      <w:r>
        <w:t>Mirna</w:t>
      </w:r>
      <w:proofErr w:type="spellEnd"/>
      <w:r>
        <w:t xml:space="preserve"> </w:t>
      </w:r>
      <w:proofErr w:type="spellStart"/>
      <w:r>
        <w:t>Cieniewicz</w:t>
      </w:r>
      <w:proofErr w:type="spellEnd"/>
      <w:r>
        <w:t xml:space="preserve"> vyzvala všechny účastníky, aby o dostupných nástrojích informovali firmy a instituce, aby posílali své připomínky k projektovému týmu TCC-SCV  a šířili informace o projektu s cílem zvýšit povědomí o existujícím řešení.</w:t>
      </w:r>
    </w:p>
    <w:p w14:paraId="46312F16" w14:textId="77777777" w:rsidR="00776049" w:rsidRDefault="00776049" w:rsidP="00776049">
      <w:r>
        <w:t>Konferenci "</w:t>
      </w:r>
      <w:proofErr w:type="spellStart"/>
      <w:r>
        <w:t>Skippers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“ předcházela cocktail recepce v Evropském parlamentu, pořádaná společně členkou evropského parlamentu paní </w:t>
      </w:r>
      <w:proofErr w:type="spellStart"/>
      <w:r>
        <w:t>Claudiou</w:t>
      </w:r>
      <w:proofErr w:type="spellEnd"/>
      <w:r>
        <w:t xml:space="preserve"> </w:t>
      </w:r>
      <w:proofErr w:type="spellStart"/>
      <w:r>
        <w:t>Monteiro</w:t>
      </w:r>
      <w:proofErr w:type="spellEnd"/>
      <w:r>
        <w:t xml:space="preserve"> de </w:t>
      </w:r>
      <w:proofErr w:type="spellStart"/>
      <w:r>
        <w:t>Aguiar</w:t>
      </w:r>
      <w:proofErr w:type="spellEnd"/>
      <w:r>
        <w:t xml:space="preserve">, prezidentem EBI  </w:t>
      </w:r>
      <w:proofErr w:type="spellStart"/>
      <w:r>
        <w:t>Pierem</w:t>
      </w:r>
      <w:proofErr w:type="spellEnd"/>
      <w:r>
        <w:t xml:space="preserve"> </w:t>
      </w:r>
      <w:proofErr w:type="spellStart"/>
      <w:r>
        <w:t>Formentim</w:t>
      </w:r>
      <w:proofErr w:type="spellEnd"/>
      <w:r>
        <w:t xml:space="preserve">  a evropskou SME malých a středních podniků.</w:t>
      </w:r>
    </w:p>
    <w:p w14:paraId="67E83DA0" w14:textId="77777777" w:rsidR="00776049" w:rsidRDefault="00776049" w:rsidP="00776049">
      <w:pPr>
        <w:rPr>
          <w:b/>
        </w:rPr>
      </w:pPr>
    </w:p>
    <w:p w14:paraId="53910CC6" w14:textId="77777777" w:rsidR="00776049" w:rsidRPr="00776049" w:rsidRDefault="00776049" w:rsidP="00776049">
      <w:pPr>
        <w:rPr>
          <w:b/>
        </w:rPr>
      </w:pPr>
      <w:bookmarkStart w:id="0" w:name="_GoBack"/>
      <w:bookmarkEnd w:id="0"/>
      <w:r w:rsidRPr="00776049">
        <w:rPr>
          <w:b/>
        </w:rPr>
        <w:t>Pro více informací kontaktujte:</w:t>
      </w:r>
    </w:p>
    <w:p w14:paraId="7EA3E61C" w14:textId="77777777" w:rsidR="00776049" w:rsidRDefault="00776049" w:rsidP="00776049">
      <w:proofErr w:type="spellStart"/>
      <w:r>
        <w:t>Mirna</w:t>
      </w:r>
      <w:proofErr w:type="spellEnd"/>
      <w:r>
        <w:t xml:space="preserve"> </w:t>
      </w:r>
      <w:proofErr w:type="spellStart"/>
      <w:r>
        <w:t>Cieniewicz</w:t>
      </w:r>
      <w:proofErr w:type="spellEnd"/>
      <w:r>
        <w:t xml:space="preserve"> nebo Ewa </w:t>
      </w:r>
      <w:proofErr w:type="spellStart"/>
      <w:r>
        <w:t>Tomczuk</w:t>
      </w:r>
      <w:proofErr w:type="spellEnd"/>
      <w:r>
        <w:t xml:space="preserve"> –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Boating</w:t>
      </w:r>
      <w:proofErr w:type="spellEnd"/>
      <w:r>
        <w:t xml:space="preserve"> </w:t>
      </w:r>
      <w:proofErr w:type="spellStart"/>
      <w:r>
        <w:t>Idustry</w:t>
      </w:r>
      <w:proofErr w:type="spellEnd"/>
    </w:p>
    <w:p w14:paraId="70BFCCBC" w14:textId="77777777" w:rsidR="00776049" w:rsidRDefault="00776049" w:rsidP="00776049">
      <w:r>
        <w:t>office@europeanboatingindustry.eu</w:t>
      </w:r>
    </w:p>
    <w:p w14:paraId="091E3F36" w14:textId="77777777" w:rsidR="00776049" w:rsidRDefault="00776049" w:rsidP="00776049">
      <w:r>
        <w:t>Tel 32/2 403 36 20</w:t>
      </w:r>
    </w:p>
    <w:p w14:paraId="686BB848" w14:textId="77777777" w:rsidR="00F60221" w:rsidRDefault="00776049"/>
    <w:sectPr w:rsidR="00F6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49"/>
    <w:rsid w:val="002D48A8"/>
    <w:rsid w:val="00776049"/>
    <w:rsid w:val="00A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B06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04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1142</Words>
  <Characters>6740</Characters>
  <Application>Microsoft Macintosh Word</Application>
  <DocSecurity>0</DocSecurity>
  <Lines>56</Lines>
  <Paragraphs>15</Paragraphs>
  <ScaleCrop>false</ScaleCrop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Skořepová Eva</dc:creator>
  <cp:keywords/>
  <dc:description/>
  <cp:lastModifiedBy>Skořepová Eva</cp:lastModifiedBy>
  <cp:revision>1</cp:revision>
  <dcterms:created xsi:type="dcterms:W3CDTF">2016-06-30T21:36:00Z</dcterms:created>
  <dcterms:modified xsi:type="dcterms:W3CDTF">2016-06-30T21:40:00Z</dcterms:modified>
</cp:coreProperties>
</file>